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6177" w14:textId="77777777" w:rsidR="00DC4CC0" w:rsidRDefault="00DC4CC0" w:rsidP="00DC4CC0">
      <w:pPr>
        <w:pStyle w:val="T1"/>
        <w:pBdr>
          <w:bottom w:val="single" w:sz="4" w:space="1" w:color="auto"/>
        </w:pBdr>
      </w:pPr>
      <w:bookmarkStart w:id="0" w:name="_Toc123214781"/>
      <w:r w:rsidRPr="001245D2">
        <w:t>Anexo V</w:t>
      </w:r>
      <w:r>
        <w:t xml:space="preserve">I do Edital </w:t>
      </w:r>
      <w:r w:rsidRPr="001245D2">
        <w:t xml:space="preserve">– </w:t>
      </w:r>
      <w:r>
        <w:br/>
      </w:r>
      <w:r w:rsidRPr="00F81772">
        <w:t xml:space="preserve">Indicadores </w:t>
      </w:r>
      <w:r>
        <w:t>d</w:t>
      </w:r>
      <w:r w:rsidRPr="00F81772">
        <w:t>e Desempenho</w:t>
      </w:r>
      <w:bookmarkEnd w:id="0"/>
    </w:p>
    <w:p w14:paraId="5A772620" w14:textId="77777777" w:rsidR="00DC4CC0" w:rsidRDefault="00DC4CC0" w:rsidP="00DC4CC0">
      <w:pPr>
        <w:pStyle w:val="a-texto"/>
        <w:spacing w:line="280" w:lineRule="exact"/>
      </w:pPr>
    </w:p>
    <w:p w14:paraId="27FE769D" w14:textId="77777777" w:rsidR="00DC4CC0" w:rsidRDefault="00DC4CC0" w:rsidP="00DC4CC0">
      <w:pPr>
        <w:pStyle w:val="a-texto"/>
        <w:spacing w:line="280" w:lineRule="exact"/>
      </w:pPr>
    </w:p>
    <w:p w14:paraId="1A36DDB3" w14:textId="77777777" w:rsidR="00DC4CC0" w:rsidRPr="00F81772" w:rsidRDefault="00DC4CC0" w:rsidP="00DC4CC0">
      <w:pPr>
        <w:pStyle w:val="a-texto"/>
        <w:spacing w:line="320" w:lineRule="exact"/>
      </w:pPr>
      <w:r w:rsidRPr="00F81772">
        <w:t>Os indicadores de desempenho são ferramentas compostas por um conjunto de métricas que tem for finalidade</w:t>
      </w:r>
      <w:r>
        <w:t xml:space="preserve"> </w:t>
      </w:r>
      <w:r w:rsidRPr="00F81772">
        <w:t>garantir a eficiência e a qualidade dos serviços prestados no âmbito dos contratos de concessões, previstos na Lei nº 8.987</w:t>
      </w:r>
      <w:r w:rsidRPr="00163BF9">
        <w:t>/199</w:t>
      </w:r>
      <w:r w:rsidRPr="00F81772">
        <w:t xml:space="preserve">5, </w:t>
      </w:r>
      <w:r w:rsidRPr="00163BF9">
        <w:t xml:space="preserve">artigo </w:t>
      </w:r>
      <w:r w:rsidRPr="00F81772">
        <w:t>23, inciso III, podendo impactar a remuneração da concessionaria, em função de seu atendimento</w:t>
      </w:r>
      <w:r>
        <w:t xml:space="preserve"> ou não</w:t>
      </w:r>
      <w:r w:rsidRPr="00F81772">
        <w:t>.</w:t>
      </w:r>
      <w:r>
        <w:t xml:space="preserve"> </w:t>
      </w:r>
      <w:r w:rsidRPr="00F81772">
        <w:t>Os indicadores</w:t>
      </w:r>
      <w:r>
        <w:t xml:space="preserve"> </w:t>
      </w:r>
      <w:r w:rsidRPr="00F81772">
        <w:t xml:space="preserve">deverão ser objetivos, claros, mensuráveis, monitoráveis e de difícil manipulação e para tal, o contrato de concessão precisa especificar de forma objetiva e clara quais são os resultados esperados em termos quantitativos e qualitativos. </w:t>
      </w:r>
    </w:p>
    <w:p w14:paraId="45E3E1EF" w14:textId="77777777" w:rsidR="00DC4CC0" w:rsidRPr="00F81772" w:rsidRDefault="00DC4CC0" w:rsidP="00DC4CC0">
      <w:pPr>
        <w:pStyle w:val="a-texto"/>
        <w:spacing w:line="320" w:lineRule="exact"/>
      </w:pPr>
      <w:r w:rsidRPr="00F81772">
        <w:t xml:space="preserve">Os indicadores de desempenho deverão ser fiscalizados com a periodicidade estipulada no </w:t>
      </w:r>
      <w:r w:rsidRPr="00163BF9">
        <w:rPr>
          <w:smallCaps/>
        </w:rPr>
        <w:t>Contrato</w:t>
      </w:r>
      <w:r w:rsidRPr="00F81772">
        <w:t xml:space="preserve"> e devem ser elaborados conforme sua finalidade: indicadores de meio (avalia a forma como o serviço prestado) ou finalísticos (avalia o resultado final do serviço), sendo que estes últimos podem ser apresentados de forma concentrada, facilitando o controle e reduzindo o risco de possíveis manipulações ou incongruências durante as verificações.</w:t>
      </w:r>
      <w:r>
        <w:t xml:space="preserve"> </w:t>
      </w:r>
    </w:p>
    <w:p w14:paraId="525F79B8" w14:textId="77777777" w:rsidR="00DC4CC0" w:rsidRPr="004E569B" w:rsidRDefault="00DC4CC0" w:rsidP="00DC4CC0">
      <w:pPr>
        <w:pStyle w:val="a-texto"/>
        <w:spacing w:line="320" w:lineRule="exact"/>
      </w:pPr>
      <w:r w:rsidRPr="00F81772">
        <w:t xml:space="preserve">Nesse </w:t>
      </w:r>
      <w:r w:rsidRPr="004E569B">
        <w:t xml:space="preserve">contexto, Cavalcante-Filho </w:t>
      </w:r>
      <w:r w:rsidRPr="004E569B">
        <w:rPr>
          <w:i/>
        </w:rPr>
        <w:t>et al</w:t>
      </w:r>
      <w:r w:rsidRPr="004E569B">
        <w:t>. (2022)</w:t>
      </w:r>
      <w:r w:rsidRPr="004E569B">
        <w:rPr>
          <w:vertAlign w:val="superscript"/>
        </w:rPr>
        <w:footnoteReference w:id="1"/>
      </w:r>
      <w:r w:rsidRPr="004E569B">
        <w:t xml:space="preserve"> elencam as seguintes diretrizes para a elaboração dos referidos indicadores: </w:t>
      </w:r>
    </w:p>
    <w:p w14:paraId="33CD7743" w14:textId="77777777" w:rsidR="00DC4CC0" w:rsidRPr="004E569B" w:rsidRDefault="00DC4CC0" w:rsidP="00DC4CC0">
      <w:pPr>
        <w:pStyle w:val="a-citao"/>
        <w:spacing w:line="320" w:lineRule="exact"/>
      </w:pPr>
      <w:r w:rsidRPr="004E569B">
        <w:t xml:space="preserve">• </w:t>
      </w:r>
      <w:r w:rsidRPr="004E569B">
        <w:rPr>
          <w:b/>
        </w:rPr>
        <w:t>Objetividade</w:t>
      </w:r>
      <w:r w:rsidRPr="004E569B">
        <w:t>: Contratos com muitos indicadores podem gerar ineficiência na mensuração e perda de objetividade. A clareza dos indicadores é essencial para adequada mensuração. Pode acontecer que sejam criados mais indicadores, ao longo dos trabalhos.</w:t>
      </w:r>
    </w:p>
    <w:p w14:paraId="6C6522FF" w14:textId="77777777" w:rsidR="00DC4CC0" w:rsidRPr="004E569B" w:rsidRDefault="00DC4CC0" w:rsidP="00DC4CC0">
      <w:pPr>
        <w:pStyle w:val="a-citao"/>
        <w:spacing w:line="320" w:lineRule="exact"/>
      </w:pPr>
      <w:r w:rsidRPr="004E569B">
        <w:t xml:space="preserve">• </w:t>
      </w:r>
      <w:r w:rsidRPr="004E569B">
        <w:rPr>
          <w:b/>
        </w:rPr>
        <w:t>Alinhamento de incentivos</w:t>
      </w:r>
      <w:r w:rsidRPr="004E569B">
        <w:t xml:space="preserve">: Para que o indicador cause incentivos de melhora ao Parceiro Privado ele deve: i) exigir esforço adequado para ser superado; e ii) estar dentro da zona de controle do Parceiro Privado. Se esses critérios não são atendidos, não existe incentivo ao Parceiro Privado em se atentar a eles. Essa falta de incentivo decorre do fato de os custos superarem os benefícios, ou porque o Parceiro Privado não dispõe de mecanismos que permitam que ele influencie os indicadores monitorados. </w:t>
      </w:r>
    </w:p>
    <w:p w14:paraId="7EFC92C9" w14:textId="77777777" w:rsidR="00DC4CC0" w:rsidRPr="007E5A55" w:rsidRDefault="00DC4CC0" w:rsidP="00DC4CC0">
      <w:pPr>
        <w:pStyle w:val="a-citao"/>
        <w:spacing w:line="320" w:lineRule="exact"/>
      </w:pPr>
      <w:r w:rsidRPr="004E569B">
        <w:t xml:space="preserve">• </w:t>
      </w:r>
      <w:r w:rsidRPr="004E569B">
        <w:rPr>
          <w:b/>
        </w:rPr>
        <w:t>Ajuste dos incentivos</w:t>
      </w:r>
      <w:r w:rsidRPr="004E569B">
        <w:t xml:space="preserve">: Os incentivos precisam estar bem definidos no contrato. Alguns contratos determinam que o incentivo pode decorrer de um desconto de </w:t>
      </w:r>
      <w:r w:rsidRPr="004E569B">
        <w:lastRenderedPageBreak/>
        <w:t>até 100% do valor da prestação pecuniária. Isso decorre da ideia de transferência de riscos ao Parceiro Privado. Outros contratos limitam os</w:t>
      </w:r>
      <w:r w:rsidRPr="007E5A55">
        <w:t xml:space="preserve"> incentivos a valor que mantenha o fluxo de caixa suficiente para honrar os custos operacionais e os serviços da dívida. Indepen</w:t>
      </w:r>
      <w:bookmarkStart w:id="1" w:name="_GoBack"/>
      <w:bookmarkEnd w:id="1"/>
      <w:r w:rsidRPr="007E5A55">
        <w:t xml:space="preserve">dentemente da magnitude do incentivo escolhido, é necessário estabelecê-los de maneira clara de acordo com as metas estabelecidas. </w:t>
      </w:r>
    </w:p>
    <w:p w14:paraId="3A98167E" w14:textId="77777777" w:rsidR="00DC4CC0" w:rsidRPr="007E5A55" w:rsidRDefault="00DC4CC0" w:rsidP="00DC4CC0">
      <w:pPr>
        <w:pStyle w:val="a-citao"/>
        <w:spacing w:line="320" w:lineRule="exact"/>
      </w:pPr>
      <w:r w:rsidRPr="007E5A55">
        <w:t xml:space="preserve">• </w:t>
      </w:r>
      <w:r w:rsidRPr="007E5A55">
        <w:rPr>
          <w:b/>
        </w:rPr>
        <w:t>Fácil mensuração</w:t>
      </w:r>
      <w:r w:rsidRPr="007E5A55">
        <w:t xml:space="preserve">: A construção da mensuração é um aspecto importante no acompanhamento das metas dos Indicadores de Desempenho. É necessário que fique claro como os indicadores serão mensurados, qual sua periodicidade, para quem serão reportados e quem fará a sua apuração. </w:t>
      </w:r>
    </w:p>
    <w:p w14:paraId="77A3A1C8" w14:textId="77777777" w:rsidR="00DC4CC0" w:rsidRPr="004E569B" w:rsidRDefault="00DC4CC0" w:rsidP="00DC4CC0">
      <w:pPr>
        <w:pStyle w:val="a-citao"/>
        <w:spacing w:line="320" w:lineRule="exact"/>
      </w:pPr>
      <w:r w:rsidRPr="007E5A55">
        <w:t xml:space="preserve">• </w:t>
      </w:r>
      <w:r w:rsidRPr="007E5A55">
        <w:rPr>
          <w:b/>
        </w:rPr>
        <w:t>Clara governança</w:t>
      </w:r>
      <w:r w:rsidRPr="007E5A55">
        <w:t>: A governança da apuração é fundamental para efetividade dos Indicadores de Desempenho. Por esse motivo, ela precisa estar clara</w:t>
      </w:r>
      <w:r w:rsidRPr="00F81772">
        <w:t xml:space="preserve"> no anexo dos Indicadores de Desempenho. Nesse contexto, surge o papel da </w:t>
      </w:r>
      <w:r w:rsidRPr="00163BF9">
        <w:rPr>
          <w:smallCaps/>
        </w:rPr>
        <w:t>Agência Reguladora</w:t>
      </w:r>
      <w:r w:rsidRPr="00F81772">
        <w:t xml:space="preserve"> e do </w:t>
      </w:r>
      <w:r w:rsidRPr="00163BF9">
        <w:rPr>
          <w:smallCaps/>
        </w:rPr>
        <w:t>Verificador Independente</w:t>
      </w:r>
      <w:r w:rsidRPr="00F81772">
        <w:t xml:space="preserve">. Em termos de melhores práticas de governança e efetividade da mensuração, é importante que haja um terceiro isento ou um </w:t>
      </w:r>
      <w:r w:rsidRPr="00163BF9">
        <w:rPr>
          <w:smallCaps/>
        </w:rPr>
        <w:t>Verificador Independente</w:t>
      </w:r>
      <w:r w:rsidRPr="00F81772">
        <w:t xml:space="preserve"> para promover sua aferição e que este seja </w:t>
      </w:r>
      <w:r w:rsidRPr="004E569B">
        <w:t xml:space="preserve">pago pelo Poder Concedente para evitar problemas de conflito de interesses. (Cavalcante-Filho </w:t>
      </w:r>
      <w:r w:rsidRPr="004E569B">
        <w:rPr>
          <w:i/>
        </w:rPr>
        <w:t>et al</w:t>
      </w:r>
      <w:r w:rsidRPr="004E569B">
        <w:t>., 2022, p. 61, grifos no original)</w:t>
      </w:r>
    </w:p>
    <w:p w14:paraId="5B8276D5" w14:textId="77777777" w:rsidR="00DC4CC0" w:rsidRPr="004E569B" w:rsidRDefault="00DC4CC0" w:rsidP="00DC4CC0">
      <w:pPr>
        <w:pStyle w:val="a-texto"/>
        <w:spacing w:line="320" w:lineRule="exact"/>
        <w:rPr>
          <w:spacing w:val="0"/>
        </w:rPr>
      </w:pPr>
      <w:r w:rsidRPr="004E569B">
        <w:rPr>
          <w:spacing w:val="0"/>
        </w:rPr>
        <w:t xml:space="preserve">Os autores também apontam que não é escopo dos Indicadores de Desempenho o monitoramento de encargos do contrato ou da legislação vigente devendo estas serem tratadas pelos caminhos administrativos ou jurídicos (Cavalcante-Filho </w:t>
      </w:r>
      <w:r w:rsidRPr="004E569B">
        <w:rPr>
          <w:i/>
          <w:spacing w:val="0"/>
        </w:rPr>
        <w:t>et al</w:t>
      </w:r>
      <w:r w:rsidRPr="004E569B">
        <w:rPr>
          <w:spacing w:val="0"/>
        </w:rPr>
        <w:t xml:space="preserve">., 2022, p. 61). </w:t>
      </w:r>
    </w:p>
    <w:p w14:paraId="3715A8EA" w14:textId="77777777" w:rsidR="00DC4CC0" w:rsidRPr="00F81772" w:rsidRDefault="00DC4CC0" w:rsidP="00DC4CC0">
      <w:pPr>
        <w:pStyle w:val="a-texto"/>
        <w:spacing w:line="320" w:lineRule="exact"/>
      </w:pPr>
      <w:r w:rsidRPr="00F81772">
        <w:t>São indicadores usuais:</w:t>
      </w:r>
    </w:p>
    <w:p w14:paraId="54FDE330" w14:textId="77777777" w:rsidR="00DC4CC0" w:rsidRPr="00F81772" w:rsidRDefault="00DC4CC0" w:rsidP="00DC4CC0">
      <w:pPr>
        <w:pStyle w:val="B-alinea"/>
        <w:spacing w:line="320" w:lineRule="exact"/>
      </w:pPr>
      <w:r w:rsidRPr="00F81772">
        <w:t>a</w:t>
      </w:r>
      <w:r>
        <w:t>)</w:t>
      </w:r>
      <w:r>
        <w:tab/>
      </w:r>
      <w:r w:rsidRPr="00F81772">
        <w:t>Indicadores de qualidade (IQ)</w:t>
      </w:r>
      <w:r>
        <w:t>;</w:t>
      </w:r>
    </w:p>
    <w:p w14:paraId="2B017B89" w14:textId="77777777" w:rsidR="00DC4CC0" w:rsidRPr="00F81772" w:rsidRDefault="00DC4CC0" w:rsidP="00DC4CC0">
      <w:pPr>
        <w:pStyle w:val="B-alinea"/>
        <w:spacing w:line="320" w:lineRule="exact"/>
      </w:pPr>
      <w:r w:rsidRPr="00F81772">
        <w:t>b</w:t>
      </w:r>
      <w:r>
        <w:t>)</w:t>
      </w:r>
      <w:r>
        <w:tab/>
      </w:r>
      <w:r w:rsidRPr="00F81772">
        <w:t>Indicadores de desempenho (IDE)</w:t>
      </w:r>
      <w:r>
        <w:t>;</w:t>
      </w:r>
    </w:p>
    <w:p w14:paraId="72ECFB1A" w14:textId="77777777" w:rsidR="00DC4CC0" w:rsidRPr="00F81772" w:rsidRDefault="00DC4CC0" w:rsidP="00DC4CC0">
      <w:pPr>
        <w:pStyle w:val="B-alinea"/>
        <w:spacing w:line="320" w:lineRule="exact"/>
      </w:pPr>
      <w:r w:rsidRPr="00F81772">
        <w:t>c</w:t>
      </w:r>
      <w:r>
        <w:t>)</w:t>
      </w:r>
      <w:r>
        <w:tab/>
      </w:r>
      <w:r w:rsidRPr="00F81772">
        <w:t>Indicadores de disponibilidade (IDI);</w:t>
      </w:r>
    </w:p>
    <w:p w14:paraId="086A0777" w14:textId="77777777" w:rsidR="00DC4CC0" w:rsidRPr="00F81772" w:rsidRDefault="00DC4CC0" w:rsidP="00DC4CC0">
      <w:pPr>
        <w:pStyle w:val="B-alinea"/>
        <w:spacing w:line="320" w:lineRule="exact"/>
      </w:pPr>
      <w:r w:rsidRPr="00F81772">
        <w:t>d</w:t>
      </w:r>
      <w:r>
        <w:t>)</w:t>
      </w:r>
      <w:r>
        <w:tab/>
        <w:t>Indicadores de performance (KPI</w:t>
      </w:r>
      <w:r w:rsidRPr="00F81772">
        <w:t>) que ganham especial importância, no caso da aplicação tecnológica intensa.</w:t>
      </w:r>
    </w:p>
    <w:p w14:paraId="66AD0CD0" w14:textId="77777777" w:rsidR="00DC4CC0" w:rsidRPr="00F81772" w:rsidRDefault="00DC4CC0" w:rsidP="00DC4CC0">
      <w:pPr>
        <w:pStyle w:val="a-texto"/>
        <w:spacing w:line="320" w:lineRule="exact"/>
      </w:pPr>
      <w:r w:rsidRPr="00F81772">
        <w:t>No que diz respeito especificamente ao gerenciamento de resíduos sólidos, com base nos indicadores firmados pelo Planares poderão ser elaborados indicadores que abarquem os seguintes exemplos:</w:t>
      </w:r>
    </w:p>
    <w:p w14:paraId="17D16454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 xml:space="preserve">Percentual de massa total recuperada </w:t>
      </w:r>
    </w:p>
    <w:p w14:paraId="5702990C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de recuperação de materiais recicláveis</w:t>
      </w:r>
    </w:p>
    <w:p w14:paraId="19B6337C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da massa total destinada para tratamento biológico</w:t>
      </w:r>
    </w:p>
    <w:p w14:paraId="7DE1D284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do biogás gerado pela fração orgânica do RSU aproveitado energeticamente</w:t>
      </w:r>
    </w:p>
    <w:p w14:paraId="5B56142D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Potência instalada (em MW) a partir de biogás de aterro sanitário</w:t>
      </w:r>
    </w:p>
    <w:p w14:paraId="1050F6DD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lastRenderedPageBreak/>
        <w:t>Potência instalada (em MW) em unidades de digestão anaeróbia de resíduos orgânicos</w:t>
      </w:r>
    </w:p>
    <w:p w14:paraId="0D1B4113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Potência instalada (em MW) em unidades de tratamento térmico de RSU</w:t>
      </w:r>
    </w:p>
    <w:p w14:paraId="699C1FA3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de cobertura de coleta de RSU</w:t>
      </w:r>
    </w:p>
    <w:p w14:paraId="257690B9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de cobertura de coleta seletiva</w:t>
      </w:r>
    </w:p>
    <w:p w14:paraId="509AE13F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>Percentual da população total com acesso à sistemas de coleta seletiva de resíduos secos</w:t>
      </w:r>
    </w:p>
    <w:p w14:paraId="60C01822" w14:textId="77777777" w:rsidR="00DC4CC0" w:rsidRPr="00F81772" w:rsidRDefault="00DC4CC0" w:rsidP="00DC4CC0">
      <w:pPr>
        <w:pStyle w:val="a-listaterra-sem"/>
        <w:spacing w:line="320" w:lineRule="exact"/>
      </w:pPr>
      <w:r w:rsidRPr="00F81772">
        <w:t xml:space="preserve">Nível de satisfação da população </w:t>
      </w:r>
    </w:p>
    <w:p w14:paraId="446ABFEB" w14:textId="77777777" w:rsidR="00DC4CC0" w:rsidRPr="00F81772" w:rsidRDefault="00DC4CC0" w:rsidP="00DC4CC0">
      <w:pPr>
        <w:pStyle w:val="a-texto"/>
        <w:spacing w:line="320" w:lineRule="exact"/>
      </w:pPr>
      <w:r w:rsidRPr="00F81772">
        <w:t xml:space="preserve">O contrato deve prever de maneira clara que a aplicação dos indicadores, quando redutiva dos valores a serem recebidos pela </w:t>
      </w:r>
      <w:r w:rsidRPr="00B66387">
        <w:rPr>
          <w:smallCaps/>
        </w:rPr>
        <w:t>Concessionária</w:t>
      </w:r>
      <w:r w:rsidRPr="00F81772">
        <w:t>, não constituem penalidade.</w:t>
      </w:r>
    </w:p>
    <w:p w14:paraId="4E5185F8" w14:textId="77777777" w:rsidR="00DC4CC0" w:rsidRDefault="00DC4CC0" w:rsidP="00DC4CC0">
      <w:pPr>
        <w:pStyle w:val="a-texto"/>
        <w:spacing w:line="320" w:lineRule="exact"/>
      </w:pPr>
      <w:r w:rsidRPr="00F81772">
        <w:t>Isto posto, os indicadores devem ser compreendidos como mais um instrumento, relevante e diferenciado, na busca pela eficiência e eficácia dos serviços de gerenciamento de resíduos sólidos.</w:t>
      </w:r>
    </w:p>
    <w:p w14:paraId="2B6A92E6" w14:textId="77777777" w:rsidR="0002610E" w:rsidRPr="00163BF9" w:rsidRDefault="0002610E" w:rsidP="00EE68F0">
      <w:pPr>
        <w:pStyle w:val="a-texto"/>
        <w:rPr>
          <w:smallCaps/>
        </w:rPr>
      </w:pPr>
    </w:p>
    <w:sectPr w:rsidR="0002610E" w:rsidRPr="00163BF9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4998" w14:textId="77777777" w:rsidR="00EF6B4B" w:rsidRDefault="00EF6B4B">
      <w:pPr>
        <w:spacing w:after="0" w:line="240" w:lineRule="auto"/>
      </w:pPr>
      <w:r>
        <w:separator/>
      </w:r>
    </w:p>
  </w:endnote>
  <w:endnote w:type="continuationSeparator" w:id="0">
    <w:p w14:paraId="5AE4CA51" w14:textId="77777777" w:rsidR="00EF6B4B" w:rsidRDefault="00E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9501" w14:textId="77777777" w:rsidR="00EF6B4B" w:rsidRDefault="00EF6B4B">
      <w:pPr>
        <w:spacing w:after="0" w:line="240" w:lineRule="auto"/>
      </w:pPr>
      <w:r>
        <w:separator/>
      </w:r>
    </w:p>
  </w:footnote>
  <w:footnote w:type="continuationSeparator" w:id="0">
    <w:p w14:paraId="00DA5DA2" w14:textId="77777777" w:rsidR="00EF6B4B" w:rsidRDefault="00EF6B4B">
      <w:pPr>
        <w:spacing w:after="0" w:line="240" w:lineRule="auto"/>
      </w:pPr>
      <w:r>
        <w:continuationSeparator/>
      </w:r>
    </w:p>
  </w:footnote>
  <w:footnote w:id="1">
    <w:p w14:paraId="288D4EA4" w14:textId="77777777" w:rsidR="00DC4CC0" w:rsidRPr="00DE4CBE" w:rsidRDefault="00DC4CC0" w:rsidP="00DC4CC0">
      <w:pPr>
        <w:pStyle w:val="Textodenotaderodap"/>
        <w:ind w:left="252" w:hanging="238"/>
        <w:jc w:val="both"/>
      </w:pPr>
      <w:r w:rsidRPr="002B394C">
        <w:rPr>
          <w:rStyle w:val="Refdenotaderodap"/>
        </w:rPr>
        <w:footnoteRef/>
      </w:r>
      <w:r w:rsidRPr="002B394C">
        <w:t xml:space="preserve"> </w:t>
      </w:r>
      <w:r>
        <w:tab/>
      </w:r>
      <w:r w:rsidRPr="004E569B">
        <w:t>CAVALCANTE-FILHO, Elias</w:t>
      </w:r>
      <w:r>
        <w:t xml:space="preserve">; DE-LOSSO, Rodrigo; SAMPAIO, Joelson; SANDE, Felipe. </w:t>
      </w:r>
      <w:r w:rsidRPr="00431625">
        <w:t>Indicadores de Desempenho no Contexto de Concessões e Parcerias Público-Privadas</w:t>
      </w:r>
      <w:r>
        <w:t xml:space="preserve">. </w:t>
      </w:r>
      <w:r w:rsidRPr="00431625">
        <w:rPr>
          <w:b/>
        </w:rPr>
        <w:t>Informações Fipe</w:t>
      </w:r>
      <w:r>
        <w:t xml:space="preserve">, Temas de Economia Aplicada, p. 54-62, junho 2022. Disponível em: </w:t>
      </w:r>
      <w:r w:rsidRPr="00431625">
        <w:t>https://downloads.fipe.org.br/publicacoes/bif/bif501-54-62.pdf</w:t>
      </w:r>
      <w:r>
        <w:t>. Acesso em: 15 dez. 2022.</w:t>
      </w:r>
      <w:hyperlink r:id="rId1" w:history="1">
        <w:r>
          <w:rPr>
            <w:rStyle w:val="Hyperlink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0" type="#_x0000_t75" style="width:9.75pt;height:9.75pt" o:bullet="t">
        <v:imagedata r:id="rId1" o:title="numeracao_terra"/>
      </v:shape>
    </w:pict>
  </w:numPicBullet>
  <w:numPicBullet w:numPicBulletId="1">
    <w:pict>
      <v:shape id="_x0000_i1751" type="#_x0000_t75" style="width:10.5pt;height:10.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610E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5CB4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690"/>
    <w:rsid w:val="002148F2"/>
    <w:rsid w:val="00214CEC"/>
    <w:rsid w:val="00215C24"/>
    <w:rsid w:val="00217CB6"/>
    <w:rsid w:val="002220D4"/>
    <w:rsid w:val="002223A1"/>
    <w:rsid w:val="00223BAB"/>
    <w:rsid w:val="0022403E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10D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69E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5B57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4CC0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6B4B"/>
    <w:rsid w:val="00EF762C"/>
    <w:rsid w:val="00EF7EF5"/>
    <w:rsid w:val="00F005AA"/>
    <w:rsid w:val="00F010D4"/>
    <w:rsid w:val="00F01450"/>
    <w:rsid w:val="00F02FE4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wnloads.fipe.org.br/publicacoes/bif/bif501-54-62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055-BCB4-4809-BD28-159F15D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5</cp:revision>
  <cp:lastPrinted>2022-12-29T14:49:00Z</cp:lastPrinted>
  <dcterms:created xsi:type="dcterms:W3CDTF">2022-12-29T16:14:00Z</dcterms:created>
  <dcterms:modified xsi:type="dcterms:W3CDTF">2022-12-30T12:59:00Z</dcterms:modified>
  <cp:category>v.00</cp:category>
</cp:coreProperties>
</file>